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440" w:rsidRPr="0012143D" w:rsidRDefault="001A6440" w:rsidP="00A1100E">
      <w:pPr>
        <w:jc w:val="right"/>
        <w:rPr>
          <w:b/>
        </w:rPr>
      </w:pPr>
      <w:r w:rsidRPr="0012143D">
        <w:rPr>
          <w:b/>
        </w:rPr>
        <w:t>Приложение №</w:t>
      </w:r>
      <w:r w:rsidR="00A1100E" w:rsidRPr="0012143D">
        <w:rPr>
          <w:b/>
        </w:rPr>
        <w:t> </w:t>
      </w:r>
      <w:r w:rsidR="0077736B" w:rsidRPr="0012143D">
        <w:rPr>
          <w:b/>
        </w:rPr>
        <w:t>7</w:t>
      </w:r>
      <w:r w:rsidR="00A1100E" w:rsidRPr="0012143D">
        <w:rPr>
          <w:b/>
        </w:rPr>
        <w:t>.</w:t>
      </w:r>
      <w:r w:rsidR="007E5598">
        <w:rPr>
          <w:b/>
        </w:rPr>
        <w:t>4</w:t>
      </w:r>
    </w:p>
    <w:p w:rsidR="001A6440" w:rsidRPr="0012143D" w:rsidRDefault="001A6440" w:rsidP="00A1100E">
      <w:pPr>
        <w:jc w:val="right"/>
      </w:pPr>
      <w:r w:rsidRPr="0012143D">
        <w:t>к Регламенту оказания ООО «ББР БРОКЕР» брокерских услуг</w:t>
      </w:r>
      <w:r w:rsidR="00D3559C">
        <w:t xml:space="preserve"> (редакция №3)</w:t>
      </w:r>
    </w:p>
    <w:p w:rsidR="00D26A5C" w:rsidRPr="0012143D" w:rsidRDefault="00D26A5C" w:rsidP="00A1100E"/>
    <w:p w:rsidR="009D01C2" w:rsidRPr="005C1297" w:rsidRDefault="009D01C2" w:rsidP="009D01C2">
      <w:pPr>
        <w:jc w:val="center"/>
        <w:rPr>
          <w:b/>
        </w:rPr>
      </w:pPr>
      <w:r w:rsidRPr="005C1297">
        <w:rPr>
          <w:b/>
        </w:rPr>
        <w:t>Декларация о рисках,</w:t>
      </w:r>
    </w:p>
    <w:p w:rsidR="009D01C2" w:rsidRPr="005C1297" w:rsidRDefault="009D01C2" w:rsidP="009D01C2">
      <w:pPr>
        <w:jc w:val="center"/>
        <w:rPr>
          <w:b/>
        </w:rPr>
      </w:pPr>
      <w:r w:rsidRPr="005C1297">
        <w:rPr>
          <w:b/>
        </w:rPr>
        <w:t>связанных с использованием денежных средств Клиента в интересах Брокера</w:t>
      </w:r>
    </w:p>
    <w:p w:rsidR="00513343" w:rsidRDefault="00513343" w:rsidP="00A1100E">
      <w:pPr>
        <w:ind w:firstLine="567"/>
      </w:pPr>
    </w:p>
    <w:p w:rsidR="001A6440" w:rsidRPr="0012143D" w:rsidRDefault="00C5274D" w:rsidP="00A1100E">
      <w:pPr>
        <w:ind w:firstLine="567"/>
      </w:pPr>
      <w:r w:rsidRPr="0012143D">
        <w:t xml:space="preserve">ООО «ББР БРОКЕР» </w:t>
      </w:r>
      <w:r w:rsidR="00A1100E" w:rsidRPr="0012143D">
        <w:t>(далее -</w:t>
      </w:r>
      <w:r w:rsidR="001A6440" w:rsidRPr="0012143D">
        <w:t xml:space="preserve"> «Брокер»</w:t>
      </w:r>
      <w:r w:rsidR="00A1100E" w:rsidRPr="0012143D">
        <w:t>)</w:t>
      </w:r>
      <w:r w:rsidR="001A6440" w:rsidRPr="0012143D">
        <w:t>, уведомляет Клиента о следующем:</w:t>
      </w:r>
    </w:p>
    <w:p w:rsidR="001A6440" w:rsidRPr="0012143D" w:rsidRDefault="00A1100E" w:rsidP="00A1100E">
      <w:pPr>
        <w:ind w:firstLine="567"/>
      </w:pPr>
      <w:r w:rsidRPr="0012143D">
        <w:rPr>
          <w:b/>
        </w:rPr>
        <w:t>1.</w:t>
      </w:r>
      <w:r w:rsidRPr="0012143D">
        <w:t> </w:t>
      </w:r>
      <w:r w:rsidR="001A6440" w:rsidRPr="0012143D">
        <w:t xml:space="preserve">Денежные средства Клиента будут находиться на </w:t>
      </w:r>
      <w:r w:rsidR="009D01C2">
        <w:t>С</w:t>
      </w:r>
      <w:r w:rsidR="001A6440" w:rsidRPr="0012143D">
        <w:t>пециальном брокерском счете (счетах) вместе со средствами других клиентов Брокера.</w:t>
      </w:r>
    </w:p>
    <w:p w:rsidR="001A6440" w:rsidRPr="0012143D" w:rsidRDefault="00A1100E" w:rsidP="00A1100E">
      <w:pPr>
        <w:ind w:firstLine="567"/>
      </w:pPr>
      <w:r w:rsidRPr="0012143D">
        <w:rPr>
          <w:b/>
        </w:rPr>
        <w:t>2.</w:t>
      </w:r>
      <w:r w:rsidRPr="0012143D">
        <w:t> </w:t>
      </w:r>
      <w:r w:rsidR="001A6440" w:rsidRPr="0012143D">
        <w:t xml:space="preserve">Для хранения денежных средств Клиента отдельно от денежных средств других клиентов Брокер может открыть отдельный </w:t>
      </w:r>
      <w:r w:rsidR="009D01C2">
        <w:t>С</w:t>
      </w:r>
      <w:r w:rsidR="001A6440" w:rsidRPr="0012143D">
        <w:t xml:space="preserve">пециальный брокерский счет </w:t>
      </w:r>
      <w:r w:rsidR="00EF456A" w:rsidRPr="0012143D">
        <w:t xml:space="preserve">(Счёт) </w:t>
      </w:r>
      <w:r w:rsidR="001A6440" w:rsidRPr="0012143D">
        <w:t>в кредитной организации.</w:t>
      </w:r>
      <w:r w:rsidRPr="0012143D">
        <w:t xml:space="preserve"> </w:t>
      </w:r>
      <w:r w:rsidR="001A6440" w:rsidRPr="0012143D">
        <w:t>Условия предоставления данной услуги:</w:t>
      </w:r>
    </w:p>
    <w:p w:rsidR="001A6440" w:rsidRPr="0012143D" w:rsidRDefault="001A6440" w:rsidP="00A1100E">
      <w:pPr>
        <w:pStyle w:val="a9"/>
        <w:numPr>
          <w:ilvl w:val="0"/>
          <w:numId w:val="6"/>
        </w:numPr>
      </w:pPr>
      <w:r w:rsidRPr="0012143D">
        <w:t xml:space="preserve">Клиент предоставляет Брокеру заявление на открытие </w:t>
      </w:r>
      <w:r w:rsidR="00EF456A" w:rsidRPr="0012143D">
        <w:t>Счёта</w:t>
      </w:r>
      <w:r w:rsidRPr="0012143D">
        <w:t>;</w:t>
      </w:r>
    </w:p>
    <w:p w:rsidR="001A6440" w:rsidRPr="0012143D" w:rsidRDefault="001A6440" w:rsidP="00A1100E">
      <w:pPr>
        <w:pStyle w:val="a9"/>
        <w:numPr>
          <w:ilvl w:val="0"/>
          <w:numId w:val="6"/>
        </w:numPr>
      </w:pPr>
      <w:r w:rsidRPr="0012143D">
        <w:t>Клиент возмещает Брокеру расходы в сумме комиссии кредитной организации за открытие</w:t>
      </w:r>
      <w:r w:rsidR="00EF456A" w:rsidRPr="0012143D">
        <w:t xml:space="preserve"> Счёта</w:t>
      </w:r>
      <w:r w:rsidRPr="0012143D">
        <w:t>;</w:t>
      </w:r>
      <w:bookmarkStart w:id="0" w:name="_GoBack"/>
      <w:bookmarkEnd w:id="0"/>
    </w:p>
    <w:p w:rsidR="001A6440" w:rsidRPr="0012143D" w:rsidRDefault="00F42DD7" w:rsidP="00A1100E">
      <w:pPr>
        <w:pStyle w:val="a9"/>
        <w:numPr>
          <w:ilvl w:val="0"/>
          <w:numId w:val="6"/>
        </w:numPr>
      </w:pPr>
      <w:r w:rsidRPr="0012143D">
        <w:t>Клиент</w:t>
      </w:r>
      <w:r w:rsidR="001A6440" w:rsidRPr="0012143D">
        <w:t xml:space="preserve"> оплачивает Брокеру комиссию за услуги </w:t>
      </w:r>
      <w:r w:rsidR="00C5274D" w:rsidRPr="0012143D">
        <w:t>по обработке</w:t>
      </w:r>
      <w:r w:rsidR="001A6440" w:rsidRPr="0012143D">
        <w:t xml:space="preserve"> заявления Клиента на открытие </w:t>
      </w:r>
      <w:r w:rsidR="00EF456A" w:rsidRPr="0012143D">
        <w:t>Счёта</w:t>
      </w:r>
      <w:r w:rsidR="00C5274D" w:rsidRPr="0012143D">
        <w:t xml:space="preserve"> и</w:t>
      </w:r>
      <w:r w:rsidR="001A6440" w:rsidRPr="0012143D">
        <w:t xml:space="preserve"> комиссию за услуги по обработке поручений (</w:t>
      </w:r>
      <w:r w:rsidR="00C5274D" w:rsidRPr="0012143D">
        <w:t>документов) Клиента</w:t>
      </w:r>
      <w:r w:rsidR="001A6440" w:rsidRPr="0012143D">
        <w:t xml:space="preserve"> в случае ведения </w:t>
      </w:r>
      <w:r w:rsidR="00EF456A" w:rsidRPr="0012143D">
        <w:t>Счёта</w:t>
      </w:r>
      <w:r w:rsidR="001A6440" w:rsidRPr="0012143D">
        <w:t xml:space="preserve">, открытого по заявлению Клиента, в соответствии с </w:t>
      </w:r>
      <w:r w:rsidR="00EF456A" w:rsidRPr="0012143D">
        <w:t>Т</w:t>
      </w:r>
      <w:r w:rsidR="001A6440" w:rsidRPr="0012143D">
        <w:t>арифами Брокера, действующими на момент фактического оказания услуг</w:t>
      </w:r>
      <w:r w:rsidR="00EF456A" w:rsidRPr="0012143D">
        <w:t>и</w:t>
      </w:r>
      <w:r w:rsidR="001A6440" w:rsidRPr="0012143D">
        <w:t>.</w:t>
      </w:r>
    </w:p>
    <w:p w:rsidR="001A6440" w:rsidRPr="009D01C2" w:rsidRDefault="00A1100E" w:rsidP="00A1100E">
      <w:pPr>
        <w:ind w:firstLine="567"/>
      </w:pPr>
      <w:bookmarkStart w:id="1" w:name="_Ref326681158"/>
      <w:r w:rsidRPr="009D01C2">
        <w:rPr>
          <w:b/>
        </w:rPr>
        <w:t>3</w:t>
      </w:r>
      <w:r w:rsidRPr="009D01C2">
        <w:t>. </w:t>
      </w:r>
      <w:r w:rsidR="009D01C2" w:rsidRPr="009D01C2">
        <w:t xml:space="preserve">Если Договор о брокерском обслуживании предоставляет Брокеру право использовать Ваши денежные средства в своих интересах, </w:t>
      </w:r>
      <w:r w:rsidR="001A6440" w:rsidRPr="009D01C2">
        <w:t>Брокер вправе безвозмездно использовать в своих интересах переданные ему денежные средства Клиента, гарантируя исполнение Поручений Клиента, которые должны быть исполнены за счет используемых денежных средств, если иное не установлено дополнительным соглашением Сторон и</w:t>
      </w:r>
      <w:r w:rsidR="00870AE4" w:rsidRPr="009D01C2">
        <w:t xml:space="preserve"> (</w:t>
      </w:r>
      <w:r w:rsidR="001A6440" w:rsidRPr="009D01C2">
        <w:t>или</w:t>
      </w:r>
      <w:r w:rsidR="00870AE4" w:rsidRPr="009D01C2">
        <w:t>)</w:t>
      </w:r>
      <w:r w:rsidR="001A6440" w:rsidRPr="009D01C2">
        <w:t xml:space="preserve"> законодательством Р</w:t>
      </w:r>
      <w:r w:rsidR="00870AE4" w:rsidRPr="009D01C2">
        <w:t xml:space="preserve">оссийской </w:t>
      </w:r>
      <w:r w:rsidR="001A6440" w:rsidRPr="009D01C2">
        <w:t>Ф</w:t>
      </w:r>
      <w:r w:rsidR="00870AE4" w:rsidRPr="009D01C2">
        <w:t>едерации</w:t>
      </w:r>
      <w:r w:rsidR="001A6440" w:rsidRPr="009D01C2">
        <w:t>. Брокер по своему усмотрению определяет сроки и место использования свободных денежных средств Клиента.</w:t>
      </w:r>
      <w:bookmarkEnd w:id="1"/>
    </w:p>
    <w:p w:rsidR="001A6440" w:rsidRPr="00C96E08" w:rsidRDefault="00A1100E" w:rsidP="00A1100E">
      <w:pPr>
        <w:ind w:firstLine="567"/>
      </w:pPr>
      <w:r w:rsidRPr="00C96E08">
        <w:rPr>
          <w:b/>
        </w:rPr>
        <w:t>4</w:t>
      </w:r>
      <w:r w:rsidRPr="00C96E08">
        <w:t>. </w:t>
      </w:r>
      <w:r w:rsidR="001A6440" w:rsidRPr="00C96E08">
        <w:t>Денежные средства Клиента, используемые Брокером, могут быть переведены с Специального брокерского счета и</w:t>
      </w:r>
      <w:r w:rsidR="009D01C2" w:rsidRPr="00C96E08">
        <w:t xml:space="preserve"> (</w:t>
      </w:r>
      <w:r w:rsidR="001A6440" w:rsidRPr="00C96E08">
        <w:t>или</w:t>
      </w:r>
      <w:r w:rsidR="009D01C2" w:rsidRPr="00C96E08">
        <w:t>)</w:t>
      </w:r>
      <w:r w:rsidR="001A6440" w:rsidRPr="00C96E08">
        <w:t xml:space="preserve"> со счета клиринговой организации, участником которой является Брокер, в расчетной организации на собственный счет Брокера, предназначенный для учета собственных денежных средств. При этом при поступлении от Клиента Поручения на покупку ценных бумаг, Брокер вправе осуществлять расчеты по сделке (сделкам), совершенной во исполнение Поручения, с собственного счета Брокера, без предварительного перечисления денежных средств Клиента на Специальный брокерский счет. Клиент вправе в любое время потребовать возврата всей суммы или части принадлежащих ему денежных средств, находящихся на Специальном брокерском счете или на собственном счете Брокера.</w:t>
      </w:r>
    </w:p>
    <w:p w:rsidR="001A6440" w:rsidRPr="009D01C2" w:rsidRDefault="00A1100E" w:rsidP="00A1100E">
      <w:pPr>
        <w:ind w:firstLine="567"/>
      </w:pPr>
      <w:r w:rsidRPr="009D01C2">
        <w:rPr>
          <w:b/>
        </w:rPr>
        <w:t>5</w:t>
      </w:r>
      <w:r w:rsidRPr="009D01C2">
        <w:t>. </w:t>
      </w:r>
      <w:r w:rsidR="001A6440" w:rsidRPr="009D01C2">
        <w:t>Объединение средств Клиента на одном счете со средствами других клиентов и (или) предоставление Брокеру возможности использовать денежные средства Клиента может нести в себе риск возникновения убытков, вызванный возможным негат</w:t>
      </w:r>
      <w:r w:rsidR="00C5274D" w:rsidRPr="009D01C2">
        <w:t xml:space="preserve">ивным влиянием ряда фактов, </w:t>
      </w:r>
      <w:proofErr w:type="gramStart"/>
      <w:r w:rsidR="00AB7951" w:rsidRPr="009D01C2">
        <w:t>как то</w:t>
      </w:r>
      <w:proofErr w:type="gramEnd"/>
      <w:r w:rsidR="001A6440" w:rsidRPr="009D01C2">
        <w:t>:</w:t>
      </w:r>
    </w:p>
    <w:p w:rsidR="001A6440" w:rsidRPr="009D01C2" w:rsidRDefault="001A6440" w:rsidP="00A1100E">
      <w:pPr>
        <w:pStyle w:val="a9"/>
        <w:numPr>
          <w:ilvl w:val="0"/>
          <w:numId w:val="7"/>
        </w:numPr>
      </w:pPr>
      <w:r w:rsidRPr="009D01C2">
        <w:t>риск недостачи денежных средств из-за перерасхода денежных средств на операции другого клиента вследствие ошибки сотрудников Брокера либо сбоя программного обеспечения;</w:t>
      </w:r>
    </w:p>
    <w:p w:rsidR="001A6440" w:rsidRPr="009D01C2" w:rsidRDefault="001A6440" w:rsidP="00A1100E">
      <w:pPr>
        <w:pStyle w:val="a9"/>
        <w:numPr>
          <w:ilvl w:val="0"/>
          <w:numId w:val="7"/>
        </w:numPr>
      </w:pPr>
      <w:r w:rsidRPr="009D01C2">
        <w:t>риск неплатежа по сделке, связанный с недостачей денежных средств;</w:t>
      </w:r>
    </w:p>
    <w:p w:rsidR="001A6440" w:rsidRPr="009D01C2" w:rsidRDefault="001A6440" w:rsidP="00A1100E">
      <w:pPr>
        <w:pStyle w:val="a9"/>
        <w:numPr>
          <w:ilvl w:val="0"/>
          <w:numId w:val="7"/>
        </w:numPr>
      </w:pPr>
      <w:r w:rsidRPr="009D01C2">
        <w:t>риск невозврата денежных средств;</w:t>
      </w:r>
    </w:p>
    <w:p w:rsidR="00C5274D" w:rsidRPr="009D01C2" w:rsidRDefault="001A6440" w:rsidP="00A1100E">
      <w:pPr>
        <w:pStyle w:val="a9"/>
        <w:numPr>
          <w:ilvl w:val="0"/>
          <w:numId w:val="7"/>
        </w:numPr>
      </w:pPr>
      <w:r w:rsidRPr="009D01C2">
        <w:t>риск просрочки возврата денежных средств.</w:t>
      </w:r>
    </w:p>
    <w:p w:rsidR="001A6440" w:rsidRDefault="001A6440" w:rsidP="00A1100E">
      <w:pPr>
        <w:ind w:firstLine="567"/>
      </w:pPr>
      <w:r w:rsidRPr="009D01C2">
        <w:t>Перечень указанных выше рисков и факторов, влекущих к возникновению рисков, не является исчерпывающим, в связи с чем Клиент может нести дополнительные риски, связанные с объединением средств Клиента на одном счете со средствами других клиентов и (или) связанные с предоставлением Брокеру возможности использовать денежные средства Клиента.</w:t>
      </w:r>
      <w:r w:rsidRPr="0012143D">
        <w:t xml:space="preserve"> </w:t>
      </w:r>
    </w:p>
    <w:p w:rsidR="009D01C2" w:rsidRPr="001D5832" w:rsidRDefault="009D01C2" w:rsidP="009D01C2">
      <w:pPr>
        <w:ind w:firstLine="708"/>
      </w:pPr>
      <w:r w:rsidRPr="001D5832">
        <w:lastRenderedPageBreak/>
        <w:t>Учитывая вышеизложенное, мы рекомендуем Вам внимательно рассмотреть вопрос о предоставлении Брокеру права использовать в своих интересах денежные средства, находящиеся на Специальном брокерском счете.</w:t>
      </w:r>
    </w:p>
    <w:p w:rsidR="009D01C2" w:rsidRDefault="009D01C2" w:rsidP="009D01C2">
      <w:pPr>
        <w:ind w:firstLine="708"/>
      </w:pPr>
      <w:r w:rsidRPr="001D5832">
        <w:t>Учитывая вышеизложенное, мы рекомендуем</w:t>
      </w:r>
      <w:r w:rsidRPr="00AC70AE">
        <w:t xml:space="preserve"> Вам </w:t>
      </w:r>
      <w:r>
        <w:t>в</w:t>
      </w:r>
      <w:r w:rsidRPr="005C1297">
        <w:t>нимательно ознаком</w:t>
      </w:r>
      <w:r>
        <w:t>иться</w:t>
      </w:r>
      <w:r w:rsidRPr="005C1297">
        <w:t xml:space="preserve"> с проектом </w:t>
      </w:r>
      <w:r>
        <w:t xml:space="preserve">Договора о брокерском обслуживании </w:t>
      </w:r>
      <w:r w:rsidRPr="005C1297">
        <w:t>для того, чтобы</w:t>
      </w:r>
      <w:r>
        <w:t xml:space="preserve"> </w:t>
      </w:r>
      <w:r w:rsidRPr="005C1297">
        <w:t>оценить, какие полномочия по использованию Ваших денежных средств будет иметь</w:t>
      </w:r>
      <w:r>
        <w:t xml:space="preserve"> </w:t>
      </w:r>
      <w:r w:rsidRPr="005C1297">
        <w:t>Брокер, каковы правила их хранения, а также возврата.</w:t>
      </w:r>
    </w:p>
    <w:p w:rsidR="009D01C2" w:rsidRPr="00AC70AE" w:rsidRDefault="009D01C2" w:rsidP="009D01C2">
      <w:pPr>
        <w:ind w:firstLine="567"/>
      </w:pPr>
      <w:r w:rsidRPr="00AC70AE">
        <w:t>Убедитесь, что настоящая Декларация о рисках понятна Вам, и при необходимости получите разъяснения у Брокера или консультанта, специализирующегося на соответствующих вопросах.</w:t>
      </w:r>
    </w:p>
    <w:p w:rsidR="009D01C2" w:rsidRDefault="009D01C2" w:rsidP="009D01C2">
      <w:pPr>
        <w:ind w:firstLine="708"/>
      </w:pPr>
      <w:r w:rsidRPr="005C1297">
        <w:t>В случае нарушения Брокером порядка хранения и использования Ваших денежных</w:t>
      </w:r>
      <w:r>
        <w:t xml:space="preserve"> </w:t>
      </w:r>
      <w:r w:rsidRPr="005C1297">
        <w:t>средств Вы можете обратиться с жалобой в Центральный Банк Российской Федерации,</w:t>
      </w:r>
      <w:r>
        <w:t xml:space="preserve"> </w:t>
      </w:r>
      <w:r w:rsidRPr="005C1297">
        <w:t>являющийся государственным регулятором отношений в сфере финансового рынка или в</w:t>
      </w:r>
      <w:r>
        <w:t xml:space="preserve"> </w:t>
      </w:r>
      <w:r w:rsidRPr="005C1297">
        <w:t>СРО Н</w:t>
      </w:r>
      <w:r>
        <w:t>АУ</w:t>
      </w:r>
      <w:r w:rsidRPr="005C1297">
        <w:t>Ф</w:t>
      </w:r>
      <w:r>
        <w:t>ОР</w:t>
      </w:r>
      <w:r w:rsidRPr="005C1297">
        <w:t xml:space="preserve">. </w:t>
      </w:r>
    </w:p>
    <w:p w:rsidR="009D01C2" w:rsidRPr="00A35F80" w:rsidRDefault="001A6440" w:rsidP="009D01C2">
      <w:pPr>
        <w:rPr>
          <w:b/>
        </w:rPr>
      </w:pPr>
      <w:r w:rsidRPr="0012143D">
        <w:rPr>
          <w:b/>
        </w:rPr>
        <w:t xml:space="preserve">Подача Клиентом заявления о присоединении к </w:t>
      </w:r>
      <w:r w:rsidR="00870AE4">
        <w:rPr>
          <w:b/>
        </w:rPr>
        <w:t>Договору о брокерском обслуживании</w:t>
      </w:r>
      <w:r w:rsidRPr="0012143D">
        <w:rPr>
          <w:b/>
        </w:rPr>
        <w:t xml:space="preserve"> / Договору на ведение индивидуального инвестиционного счета с </w:t>
      </w:r>
      <w:r w:rsidR="00C5274D" w:rsidRPr="0012143D">
        <w:rPr>
          <w:b/>
        </w:rPr>
        <w:t xml:space="preserve">ООО «ББР БРОКЕР» </w:t>
      </w:r>
      <w:r w:rsidRPr="0012143D">
        <w:rPr>
          <w:b/>
        </w:rPr>
        <w:t xml:space="preserve">означает, </w:t>
      </w:r>
      <w:r w:rsidR="009D01C2" w:rsidRPr="00A35F80">
        <w:rPr>
          <w:b/>
        </w:rPr>
        <w:t>что Клиент ознакомился с настоящей декларацией.</w:t>
      </w:r>
    </w:p>
    <w:p w:rsidR="009D01C2" w:rsidRPr="005C1297" w:rsidRDefault="009D01C2" w:rsidP="009D01C2">
      <w:r w:rsidRPr="00A35F80">
        <w:rPr>
          <w:b/>
        </w:rPr>
        <w:t>Настоящая Декларация, как Приложение № 7.</w:t>
      </w:r>
      <w:r w:rsidR="00DB50AE">
        <w:rPr>
          <w:b/>
        </w:rPr>
        <w:t>4</w:t>
      </w:r>
      <w:r w:rsidRPr="00A35F80">
        <w:rPr>
          <w:b/>
        </w:rPr>
        <w:t xml:space="preserve"> к Регламенту, размещается Брокером </w:t>
      </w:r>
      <w:r w:rsidRPr="00A35F80">
        <w:t>также на Сайте Брокера по адресу</w:t>
      </w:r>
      <w:r w:rsidRPr="005C1297">
        <w:t xml:space="preserve"> </w:t>
      </w:r>
      <w:hyperlink r:id="rId8" w:history="1">
        <w:r w:rsidRPr="005C1297">
          <w:rPr>
            <w:rStyle w:val="ad"/>
          </w:rPr>
          <w:t>www.bbrbroker.ru</w:t>
        </w:r>
      </w:hyperlink>
      <w:r w:rsidRPr="005C1297">
        <w:t xml:space="preserve"> </w:t>
      </w:r>
      <w:r w:rsidRPr="00A35F80">
        <w:rPr>
          <w:b/>
        </w:rPr>
        <w:t>доступна в интернете для</w:t>
      </w:r>
      <w:r w:rsidRPr="005C1297">
        <w:t xml:space="preserve"> </w:t>
      </w:r>
      <w:r w:rsidRPr="00A35F80">
        <w:rPr>
          <w:b/>
        </w:rPr>
        <w:t>ознакомления всеми Клиентами.</w:t>
      </w:r>
    </w:p>
    <w:p w:rsidR="00F7154F" w:rsidRPr="00A1100E" w:rsidRDefault="00F7154F" w:rsidP="00A1100E">
      <w:pPr>
        <w:rPr>
          <w:b/>
        </w:rPr>
      </w:pPr>
    </w:p>
    <w:sectPr w:rsidR="00F7154F" w:rsidRPr="00A1100E" w:rsidSect="00A1100E">
      <w:footerReference w:type="default" r:id="rId9"/>
      <w:pgSz w:w="11906" w:h="16838"/>
      <w:pgMar w:top="1134" w:right="850" w:bottom="1134" w:left="1701" w:header="27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46E" w:rsidRDefault="0030546E" w:rsidP="001A6440">
      <w:r>
        <w:separator/>
      </w:r>
    </w:p>
  </w:endnote>
  <w:endnote w:type="continuationSeparator" w:id="0">
    <w:p w:rsidR="0030546E" w:rsidRDefault="0030546E" w:rsidP="001A6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034751"/>
      <w:docPartObj>
        <w:docPartGallery w:val="Page Numbers (Bottom of Page)"/>
        <w:docPartUnique/>
      </w:docPartObj>
    </w:sdtPr>
    <w:sdtEndPr/>
    <w:sdtContent>
      <w:p w:rsidR="00A1100E" w:rsidRDefault="00A1100E">
        <w:pPr>
          <w:pStyle w:val="a7"/>
          <w:jc w:val="right"/>
        </w:pPr>
        <w:r>
          <w:fldChar w:fldCharType="begin"/>
        </w:r>
        <w:r>
          <w:instrText>PAGE   \* MERGEFORMAT</w:instrText>
        </w:r>
        <w:r>
          <w:fldChar w:fldCharType="separate"/>
        </w:r>
        <w:r w:rsidR="00D3559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46E" w:rsidRDefault="0030546E" w:rsidP="001A6440">
      <w:r>
        <w:separator/>
      </w:r>
    </w:p>
  </w:footnote>
  <w:footnote w:type="continuationSeparator" w:id="0">
    <w:p w:rsidR="0030546E" w:rsidRDefault="0030546E" w:rsidP="001A6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31C4E"/>
    <w:multiLevelType w:val="singleLevel"/>
    <w:tmpl w:val="FF3C5E28"/>
    <w:lvl w:ilvl="0">
      <w:start w:val="7"/>
      <w:numFmt w:val="bullet"/>
      <w:lvlText w:val=""/>
      <w:lvlJc w:val="left"/>
      <w:pPr>
        <w:tabs>
          <w:tab w:val="num" w:pos="851"/>
        </w:tabs>
        <w:ind w:left="851" w:hanging="397"/>
      </w:pPr>
      <w:rPr>
        <w:rFonts w:ascii="Symbol" w:hAnsi="Symbol" w:hint="default"/>
      </w:rPr>
    </w:lvl>
  </w:abstractNum>
  <w:abstractNum w:abstractNumId="1" w15:restartNumberingAfterBreak="0">
    <w:nsid w:val="0D337DE5"/>
    <w:multiLevelType w:val="hybridMultilevel"/>
    <w:tmpl w:val="218AF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923924"/>
    <w:multiLevelType w:val="hybridMultilevel"/>
    <w:tmpl w:val="952AF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AD4976"/>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701E7D9F"/>
    <w:multiLevelType w:val="singleLevel"/>
    <w:tmpl w:val="FF3C5E28"/>
    <w:lvl w:ilvl="0">
      <w:start w:val="7"/>
      <w:numFmt w:val="bullet"/>
      <w:lvlText w:val=""/>
      <w:lvlJc w:val="left"/>
      <w:pPr>
        <w:tabs>
          <w:tab w:val="num" w:pos="851"/>
        </w:tabs>
        <w:ind w:left="851" w:hanging="397"/>
      </w:pPr>
      <w:rPr>
        <w:rFonts w:ascii="Symbol" w:hAnsi="Symbol" w:hint="default"/>
      </w:rPr>
    </w:lvl>
  </w:abstractNum>
  <w:abstractNum w:abstractNumId="5" w15:restartNumberingAfterBreak="0">
    <w:nsid w:val="75337E51"/>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790464EA"/>
    <w:multiLevelType w:val="hybridMultilevel"/>
    <w:tmpl w:val="83EED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1B2"/>
    <w:rsid w:val="000E28BE"/>
    <w:rsid w:val="000E6722"/>
    <w:rsid w:val="0012143D"/>
    <w:rsid w:val="0018595E"/>
    <w:rsid w:val="001A6440"/>
    <w:rsid w:val="00233710"/>
    <w:rsid w:val="00287BD8"/>
    <w:rsid w:val="0030546E"/>
    <w:rsid w:val="003D6CC8"/>
    <w:rsid w:val="00513343"/>
    <w:rsid w:val="005622A1"/>
    <w:rsid w:val="0077736B"/>
    <w:rsid w:val="007E5598"/>
    <w:rsid w:val="00870AE4"/>
    <w:rsid w:val="008D40FC"/>
    <w:rsid w:val="009515A0"/>
    <w:rsid w:val="0096776A"/>
    <w:rsid w:val="0097188B"/>
    <w:rsid w:val="009B2076"/>
    <w:rsid w:val="009D01C2"/>
    <w:rsid w:val="00A001B2"/>
    <w:rsid w:val="00A1100E"/>
    <w:rsid w:val="00AB7709"/>
    <w:rsid w:val="00AB7951"/>
    <w:rsid w:val="00AC5FA7"/>
    <w:rsid w:val="00BF76F8"/>
    <w:rsid w:val="00C5274D"/>
    <w:rsid w:val="00C96E08"/>
    <w:rsid w:val="00D26A5C"/>
    <w:rsid w:val="00D3559C"/>
    <w:rsid w:val="00D85D39"/>
    <w:rsid w:val="00DB50AE"/>
    <w:rsid w:val="00DE083D"/>
    <w:rsid w:val="00DF238D"/>
    <w:rsid w:val="00E46674"/>
    <w:rsid w:val="00EF456A"/>
    <w:rsid w:val="00F42DD7"/>
    <w:rsid w:val="00F71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C3FD0"/>
  <w15:chartTrackingRefBased/>
  <w15:docId w15:val="{3DA2F646-6DFF-4848-927E-494303DE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00E"/>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A6440"/>
    <w:pPr>
      <w:spacing w:after="120"/>
    </w:pPr>
  </w:style>
  <w:style w:type="character" w:customStyle="1" w:styleId="a4">
    <w:name w:val="Основной текст Знак"/>
    <w:basedOn w:val="a0"/>
    <w:link w:val="a3"/>
    <w:uiPriority w:val="99"/>
    <w:semiHidden/>
    <w:rsid w:val="001A6440"/>
  </w:style>
  <w:style w:type="paragraph" w:styleId="a5">
    <w:name w:val="header"/>
    <w:basedOn w:val="a"/>
    <w:link w:val="a6"/>
    <w:uiPriority w:val="99"/>
    <w:semiHidden/>
    <w:rsid w:val="001A6440"/>
    <w:pPr>
      <w:tabs>
        <w:tab w:val="center" w:pos="4677"/>
        <w:tab w:val="right" w:pos="9355"/>
      </w:tabs>
    </w:pPr>
    <w:rPr>
      <w:rFonts w:eastAsia="Times New Roman" w:cs="Times New Roman"/>
      <w:szCs w:val="24"/>
      <w:lang w:eastAsia="ru-RU"/>
    </w:rPr>
  </w:style>
  <w:style w:type="character" w:customStyle="1" w:styleId="a6">
    <w:name w:val="Верхний колонтитул Знак"/>
    <w:basedOn w:val="a0"/>
    <w:link w:val="a5"/>
    <w:uiPriority w:val="99"/>
    <w:semiHidden/>
    <w:rsid w:val="001A6440"/>
    <w:rPr>
      <w:rFonts w:ascii="Times New Roman" w:eastAsia="Times New Roman" w:hAnsi="Times New Roman" w:cs="Times New Roman"/>
      <w:sz w:val="24"/>
      <w:szCs w:val="24"/>
      <w:lang w:eastAsia="ru-RU"/>
    </w:rPr>
  </w:style>
  <w:style w:type="paragraph" w:styleId="a7">
    <w:name w:val="footer"/>
    <w:basedOn w:val="a"/>
    <w:link w:val="a8"/>
    <w:uiPriority w:val="99"/>
    <w:rsid w:val="001A6440"/>
    <w:pPr>
      <w:tabs>
        <w:tab w:val="center" w:pos="4677"/>
        <w:tab w:val="right" w:pos="9355"/>
      </w:tabs>
    </w:pPr>
    <w:rPr>
      <w:rFonts w:eastAsia="Times New Roman" w:cs="Times New Roman"/>
      <w:szCs w:val="24"/>
      <w:lang w:eastAsia="ru-RU"/>
    </w:rPr>
  </w:style>
  <w:style w:type="character" w:customStyle="1" w:styleId="a8">
    <w:name w:val="Нижний колонтитул Знак"/>
    <w:basedOn w:val="a0"/>
    <w:link w:val="a7"/>
    <w:uiPriority w:val="99"/>
    <w:rsid w:val="001A6440"/>
    <w:rPr>
      <w:rFonts w:ascii="Times New Roman" w:eastAsia="Times New Roman" w:hAnsi="Times New Roman" w:cs="Times New Roman"/>
      <w:sz w:val="24"/>
      <w:szCs w:val="24"/>
      <w:lang w:eastAsia="ru-RU"/>
    </w:rPr>
  </w:style>
  <w:style w:type="paragraph" w:styleId="a9">
    <w:name w:val="List Paragraph"/>
    <w:basedOn w:val="a"/>
    <w:link w:val="aa"/>
    <w:uiPriority w:val="34"/>
    <w:qFormat/>
    <w:rsid w:val="00C5274D"/>
    <w:pPr>
      <w:ind w:left="720"/>
      <w:contextualSpacing/>
    </w:pPr>
  </w:style>
  <w:style w:type="character" w:customStyle="1" w:styleId="aa">
    <w:name w:val="Абзац списка Знак"/>
    <w:basedOn w:val="a0"/>
    <w:link w:val="a9"/>
    <w:uiPriority w:val="34"/>
    <w:rsid w:val="00D85D39"/>
  </w:style>
  <w:style w:type="paragraph" w:styleId="ab">
    <w:name w:val="Balloon Text"/>
    <w:basedOn w:val="a"/>
    <w:link w:val="ac"/>
    <w:uiPriority w:val="99"/>
    <w:semiHidden/>
    <w:unhideWhenUsed/>
    <w:rsid w:val="00870AE4"/>
    <w:rPr>
      <w:rFonts w:ascii="Segoe UI" w:hAnsi="Segoe UI" w:cs="Segoe UI"/>
      <w:sz w:val="18"/>
      <w:szCs w:val="18"/>
    </w:rPr>
  </w:style>
  <w:style w:type="character" w:customStyle="1" w:styleId="ac">
    <w:name w:val="Текст выноски Знак"/>
    <w:basedOn w:val="a0"/>
    <w:link w:val="ab"/>
    <w:uiPriority w:val="99"/>
    <w:semiHidden/>
    <w:rsid w:val="00870AE4"/>
    <w:rPr>
      <w:rFonts w:ascii="Segoe UI" w:hAnsi="Segoe UI" w:cs="Segoe UI"/>
      <w:sz w:val="18"/>
      <w:szCs w:val="18"/>
    </w:rPr>
  </w:style>
  <w:style w:type="character" w:styleId="ad">
    <w:name w:val="Hyperlink"/>
    <w:basedOn w:val="a0"/>
    <w:uiPriority w:val="99"/>
    <w:unhideWhenUsed/>
    <w:rsid w:val="009D01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rbrok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C0AB-34EB-4D38-8DE4-78F76A4F2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Цуркану</dc:creator>
  <cp:keywords/>
  <dc:description/>
  <cp:lastModifiedBy>Давыдова Александра Владимировна</cp:lastModifiedBy>
  <cp:revision>9</cp:revision>
  <cp:lastPrinted>2022-12-29T12:20:00Z</cp:lastPrinted>
  <dcterms:created xsi:type="dcterms:W3CDTF">2022-12-16T06:28:00Z</dcterms:created>
  <dcterms:modified xsi:type="dcterms:W3CDTF">2022-12-29T12:28:00Z</dcterms:modified>
</cp:coreProperties>
</file>